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2ED38EA9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6349C9EB" w14:textId="06CB7E79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7-02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7A0225">
            <w:rPr>
              <w:rFonts w:ascii="Times New Roman" w:hAnsi="Times New Roman" w:cs="Times New Roman"/>
            </w:rPr>
            <w:t>02</w:t>
          </w:r>
          <w:r w:rsidRPr="00275C2E">
            <w:rPr>
              <w:rFonts w:ascii="Times New Roman" w:hAnsi="Times New Roman" w:cs="Times New Roman"/>
            </w:rPr>
            <w:t>.0</w:t>
          </w:r>
          <w:r w:rsidR="007A0225">
            <w:rPr>
              <w:rFonts w:ascii="Times New Roman" w:hAnsi="Times New Roman" w:cs="Times New Roman"/>
            </w:rPr>
            <w:t>7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570CA4CE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7A0225">
            <w:rPr>
              <w:rFonts w:ascii="Times New Roman" w:hAnsi="Times New Roman" w:cs="Times New Roman"/>
            </w:rPr>
            <w:t>4630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28D80ECD" w:rsidR="00441CD0" w:rsidRPr="00275C2E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r w:rsidR="007A0225" w:rsidRPr="007A0225">
        <w:rPr>
          <w:rFonts w:ascii="Times New Roman" w:hAnsi="Times New Roman" w:cs="Times New Roman"/>
        </w:rPr>
        <w:t xml:space="preserve">Finest-Hall </w:t>
      </w:r>
      <w:proofErr w:type="spellStart"/>
      <w:r w:rsidR="007A0225" w:rsidRPr="007A0225">
        <w:rPr>
          <w:rFonts w:ascii="Times New Roman" w:hAnsi="Times New Roman" w:cs="Times New Roman"/>
        </w:rPr>
        <w:t>Factory</w:t>
      </w:r>
      <w:proofErr w:type="spellEnd"/>
      <w:r w:rsidR="007A0225" w:rsidRPr="007A0225">
        <w:rPr>
          <w:rFonts w:ascii="Times New Roman" w:hAnsi="Times New Roman" w:cs="Times New Roman"/>
        </w:rPr>
        <w:t xml:space="preserve"> OÜ avaldus Bandarahena </w:t>
      </w:r>
      <w:proofErr w:type="spellStart"/>
      <w:r w:rsidR="007A0225" w:rsidRPr="007A0225">
        <w:rPr>
          <w:rFonts w:ascii="Times New Roman" w:hAnsi="Times New Roman" w:cs="Times New Roman"/>
        </w:rPr>
        <w:t>Thoranagoda</w:t>
      </w:r>
      <w:proofErr w:type="spellEnd"/>
      <w:r w:rsidR="007A0225" w:rsidRPr="007A0225">
        <w:rPr>
          <w:rFonts w:ascii="Times New Roman" w:hAnsi="Times New Roman" w:cs="Times New Roman"/>
        </w:rPr>
        <w:t xml:space="preserve"> OÜ pankroti väljakuulutamiseks</w:t>
      </w:r>
      <w:r w:rsidRPr="00275C2E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7A0225">
            <w:rPr>
              <w:rFonts w:ascii="Times New Roman" w:hAnsi="Times New Roman" w:cs="Times New Roman"/>
            </w:rPr>
            <w:t xml:space="preserve">Jüri </w:t>
          </w:r>
          <w:proofErr w:type="spellStart"/>
          <w:r w:rsidR="007A0225">
            <w:rPr>
              <w:rFonts w:ascii="Times New Roman" w:hAnsi="Times New Roman" w:cs="Times New Roman"/>
            </w:rPr>
            <w:t>Truutsi</w:t>
          </w:r>
          <w:proofErr w:type="spellEnd"/>
        </w:sdtContent>
      </w:sdt>
      <w:r w:rsidR="00B15D05" w:rsidRPr="00275C2E">
        <w:rPr>
          <w:rFonts w:ascii="Times New Roman" w:hAnsi="Times New Roman" w:cs="Times New Roman"/>
        </w:rPr>
        <w:t xml:space="preserve"> </w:t>
      </w:r>
      <w:r w:rsidRPr="00275C2E">
        <w:rPr>
          <w:rFonts w:ascii="Times New Roman" w:hAnsi="Times New Roman" w:cs="Times New Roman"/>
        </w:rPr>
        <w:t>ajutise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 </w:t>
      </w:r>
      <w:r w:rsidR="001935BE" w:rsidRPr="00275C2E">
        <w:rPr>
          <w:rFonts w:ascii="Times New Roman" w:hAnsi="Times New Roman" w:cs="Times New Roman"/>
        </w:rPr>
        <w:t>pankroti</w:t>
      </w:r>
      <w:r w:rsidRPr="00275C2E">
        <w:rPr>
          <w:rFonts w:ascii="Times New Roman" w:hAnsi="Times New Roman" w:cs="Times New Roman"/>
        </w:rPr>
        <w:t>halduri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. </w:t>
      </w:r>
    </w:p>
    <w:p w14:paraId="2B6E85B0" w14:textId="7AAC999C" w:rsidR="007A0225" w:rsidRDefault="001935BE" w:rsidP="007A0225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275C2E" w:rsidRPr="00275C2E">
        <w:rPr>
          <w:rFonts w:ascii="Times New Roman" w:hAnsi="Times New Roman" w:cs="Times New Roman"/>
          <w:lang w:eastAsia="et-EE"/>
        </w:rPr>
        <w:t xml:space="preserve"> võlgnikul </w:t>
      </w:r>
      <w:r w:rsidR="001D098F">
        <w:rPr>
          <w:rFonts w:ascii="Times New Roman" w:hAnsi="Times New Roman" w:cs="Times New Roman"/>
          <w:lang w:eastAsia="et-EE"/>
        </w:rPr>
        <w:t>majandustegevus</w:t>
      </w:r>
      <w:r w:rsidR="004737F1">
        <w:rPr>
          <w:rFonts w:ascii="Times New Roman" w:hAnsi="Times New Roman" w:cs="Times New Roman"/>
          <w:lang w:eastAsia="et-EE"/>
        </w:rPr>
        <w:t xml:space="preserve"> puudub. </w:t>
      </w:r>
      <w:r w:rsidR="007A0225">
        <w:rPr>
          <w:rFonts w:ascii="Times New Roman" w:hAnsi="Times New Roman" w:cs="Times New Roman"/>
          <w:lang w:eastAsia="et-EE"/>
        </w:rPr>
        <w:t>Võlgnikul vara puudub,</w:t>
      </w:r>
      <w:r w:rsidR="00275C2E" w:rsidRPr="00275C2E">
        <w:rPr>
          <w:rFonts w:ascii="Times New Roman" w:hAnsi="Times New Roman" w:cs="Times New Roman"/>
          <w:lang w:eastAsia="et-EE"/>
        </w:rPr>
        <w:t xml:space="preserve"> kohustuste suuruseks on vähemalt </w:t>
      </w:r>
      <w:r w:rsidR="007A0225">
        <w:rPr>
          <w:rFonts w:ascii="Times New Roman" w:hAnsi="Times New Roman" w:cs="Times New Roman"/>
          <w:lang w:eastAsia="et-EE"/>
        </w:rPr>
        <w:t>267 671,49</w:t>
      </w:r>
      <w:r w:rsidR="004737F1">
        <w:rPr>
          <w:rFonts w:ascii="Times New Roman" w:hAnsi="Times New Roman" w:cs="Times New Roman"/>
          <w:lang w:eastAsia="et-EE"/>
        </w:rPr>
        <w:t xml:space="preserve"> </w:t>
      </w:r>
      <w:r w:rsidR="00275C2E" w:rsidRPr="00275C2E">
        <w:rPr>
          <w:rFonts w:ascii="Times New Roman" w:hAnsi="Times New Roman" w:cs="Times New Roman"/>
          <w:lang w:eastAsia="et-EE"/>
        </w:rPr>
        <w:t xml:space="preserve">eurot. </w:t>
      </w:r>
      <w:r w:rsidR="007A0225" w:rsidRPr="007A0225">
        <w:rPr>
          <w:rFonts w:ascii="Times New Roman" w:hAnsi="Times New Roman" w:cs="Times New Roman"/>
          <w:lang w:eastAsia="et-EE"/>
        </w:rPr>
        <w:t>Ajutine haldur ei ole momendil tuvastanud maksejõuetuse põhjusena rasket</w:t>
      </w:r>
      <w:r w:rsidR="007A0225">
        <w:rPr>
          <w:rFonts w:ascii="Times New Roman" w:hAnsi="Times New Roman" w:cs="Times New Roman"/>
          <w:lang w:eastAsia="et-EE"/>
        </w:rPr>
        <w:t xml:space="preserve"> </w:t>
      </w:r>
      <w:r w:rsidR="007A0225" w:rsidRPr="007A0225">
        <w:rPr>
          <w:rFonts w:ascii="Times New Roman" w:hAnsi="Times New Roman" w:cs="Times New Roman"/>
          <w:lang w:eastAsia="et-EE"/>
        </w:rPr>
        <w:t>juhtimisviga ega kuriteo tunnustega tegu. Pankrotiseaduse § 22 lg 5 mõistes on</w:t>
      </w:r>
      <w:r w:rsidR="007A0225">
        <w:rPr>
          <w:rFonts w:ascii="Times New Roman" w:hAnsi="Times New Roman" w:cs="Times New Roman"/>
          <w:lang w:eastAsia="et-EE"/>
        </w:rPr>
        <w:t xml:space="preserve"> </w:t>
      </w:r>
      <w:r w:rsidR="007A0225" w:rsidRPr="007A0225">
        <w:rPr>
          <w:rFonts w:ascii="Times New Roman" w:hAnsi="Times New Roman" w:cs="Times New Roman"/>
          <w:lang w:eastAsia="et-EE"/>
        </w:rPr>
        <w:t>maksejõuetuse põhjuseks muu asjaolu.</w:t>
      </w:r>
    </w:p>
    <w:p w14:paraId="73068BD4" w14:textId="37178AA7" w:rsidR="00441CD0" w:rsidRPr="007201E3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1A788526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7A0225">
        <w:rPr>
          <w:rFonts w:ascii="Times New Roman" w:hAnsi="Times New Roman" w:cs="Times New Roman"/>
          <w:b/>
          <w:u w:val="single"/>
        </w:rPr>
        <w:t>02.08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201E3"/>
    <w:rsid w:val="00743DCA"/>
    <w:rsid w:val="007625F9"/>
    <w:rsid w:val="00791DB2"/>
    <w:rsid w:val="007A0225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23020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2</cp:revision>
  <cp:lastPrinted>2021-06-17T12:09:00Z</cp:lastPrinted>
  <dcterms:created xsi:type="dcterms:W3CDTF">2024-07-02T11:48:00Z</dcterms:created>
  <dcterms:modified xsi:type="dcterms:W3CDTF">2024-07-02T11:48:00Z</dcterms:modified>
</cp:coreProperties>
</file>